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Microsoft YaHei" w:hAnsi="Arial"/>
          <w:b/>
          <w:bCs/>
          <w:color w:val="0B77E2"/>
          <w:sz w:val="20"/>
          <w:szCs w:val="20"/>
        </w:rPr>
        <w:t xml:space="preserve">落地方案 · 供节假日内部汇报</w:t>
      </w:r>
    </w:p>
    <w:p>
      <w:pPr>
        <w:pStyle w:val="Title"/>
        <w:spacing w:after="120"/>
      </w:pPr>
      <w:r>
        <w:rPr>
          <w:rFonts w:ascii="Arial" w:cs="Arial" w:eastAsia="Microsoft YaHei" w:hAnsi="Arial"/>
          <w:b/>
          <w:bCs/>
          <w:color w:val="1A1C1F"/>
          <w:sz w:val="40"/>
          <w:szCs w:val="40"/>
        </w:rPr>
        <w:t xml:space="preserve">盈德气体 · 采购智能查询助手（一期）落地方案</w:t>
      </w:r>
    </w:p>
    <w:p>
      <w:pPr>
        <w:pBdr>
          <w:bottom w:val="single" w:color="0B77E2" w:sz="12" w:space="8"/>
        </w:pBdr>
        <w:spacing w:after="280"/>
      </w:pPr>
      <w:r>
        <w:rPr>
          <w:rFonts w:ascii="Arial" w:cs="Arial" w:eastAsia="Microsoft YaHei" w:hAnsi="Arial"/>
          <w:color w:val="585E68"/>
          <w:sz w:val="19"/>
          <w:szCs w:val="19"/>
        </w:rPr>
        <w:t xml:space="preserve">范围基准：盈德采购智能查询助手需求及《预警阈值配置表》、材料组 7–8 月数据、OA 审批流导出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D6E8FB" w:sz="4"/>
              <w:left w:val="single" w:color="0B77E2" w:sz="24"/>
              <w:bottom w:val="single" w:color="D6E8FB" w:sz="4"/>
              <w:right w:val="single" w:color="D6E8FB" w:sz="4"/>
            </w:tcBorders>
            <w:shd w:fill="F2F8FE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 w:line="330"/>
            </w:pPr>
            <w:r>
              <w:rPr>
                <w:rFonts w:ascii="Arial" w:cs="Arial" w:eastAsia="Microsoft YaHei" w:hAnsi="Arial"/>
                <w:b/>
                <w:bCs/>
                <w:color w:val="0A5FB4"/>
                <w:sz w:val="21"/>
                <w:szCs w:val="21"/>
              </w:rPr>
              <w:t xml:space="preserve">一句话：</w:t>
            </w:r>
            <w:r>
              <w:rPr>
                <w:rFonts w:ascii="Arial" w:cs="Arial" w:eastAsia="Microsoft YaHei" w:hAnsi="Arial"/>
                <w:color w:val="1A1C1F"/>
                <w:sz w:val="21"/>
                <w:szCs w:val="21"/>
              </w:rPr>
              <w:t xml:space="preserve">把采购从需求到付款散在 SRM、SAP、OA 里的约 50 张表串成一条链，每张单子「现在走到哪、卡了几天、卡在谁」随问随答；超时的单子每天自动列出来，推给对应的人。</w:t>
            </w:r>
          </w:p>
          <w:p>
            <w:pPr>
              <w:spacing w:after="80" w:line="330"/>
            </w:pPr>
            <w:r>
              <w:rPr>
                <w:rFonts w:ascii="Arial" w:cs="Arial" w:eastAsia="Microsoft YaHei" w:hAnsi="Arial"/>
                <w:b/>
                <w:bCs/>
                <w:color w:val="0A5FB4"/>
                <w:sz w:val="21"/>
                <w:szCs w:val="21"/>
              </w:rPr>
              <w:t xml:space="preserve">这件事难在哪：</w:t>
            </w:r>
            <w:r>
              <w:rPr>
                <w:rFonts w:ascii="Arial" w:cs="Arial" w:eastAsia="Microsoft YaHei" w:hAnsi="Arial"/>
                <w:color w:val="1A1C1F"/>
                <w:sz w:val="21"/>
                <w:szCs w:val="21"/>
              </w:rPr>
              <w:t xml:space="preserve">几乎不需要复杂算法，难在</w:t>
            </w:r>
            <w:r>
              <w:rPr>
                <w:rFonts w:ascii="Arial" w:cs="Arial" w:eastAsia="Microsoft YaHei" w:hAnsi="Arial"/>
                <w:b/>
                <w:bCs/>
                <w:color w:val="0A5FB4"/>
                <w:sz w:val="21"/>
                <w:szCs w:val="21"/>
              </w:rPr>
              <w:t xml:space="preserve">数据工程、系统对接和口径对齐</w:t>
            </w:r>
            <w:r>
              <w:rPr>
                <w:rFonts w:ascii="Arial" w:cs="Arial" w:eastAsia="Microsoft YaHei" w:hAnsi="Arial"/>
                <w:color w:val="1A1C1F"/>
                <w:sz w:val="21"/>
                <w:szCs w:val="21"/>
              </w:rPr>
              <w:t xml:space="preserve">——每个阶段从哪天算起、紧急采购怎么算、框架采购不走寻源怎么算，都要和业务逐项对齐。所以方案把最多的人天放在数据接入、串链和口径确认上，并安排两周人机并行。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09"/>
        <w:gridCol w:w="2409"/>
        <w:gridCol w:w="2409"/>
        <w:gridCol w:w="2411"/>
      </w:tblGrid>
      <w:tr>
        <w:trPr>
          <w:cantSplit/>
        </w:trPr>
        <w:tc>
          <w:tcPr>
            <w:tcW w:type="dxa" w:w="2409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Microsoft YaHei" w:hAnsi="Arial"/>
                <w:b/>
                <w:bCs/>
                <w:color w:val="0A5FB4"/>
                <w:sz w:val="32"/>
                <w:szCs w:val="32"/>
              </w:rPr>
              <w:t xml:space="preserve">≈50 张</w:t>
            </w:r>
          </w:p>
          <w:p>
            <w:pPr>
              <w:spacing w:line="280"/>
            </w:pPr>
            <w:r>
              <w:rPr>
                <w:rFonts w:ascii="Arial" w:cs="Arial" w:eastAsia="Microsoft YaHei" w:hAnsi="Arial"/>
                <w:color w:val="585E68"/>
                <w:sz w:val="17"/>
                <w:szCs w:val="17"/>
              </w:rPr>
              <w:t xml:space="preserve">需求到付款涉及的业务表（7–8 月样本 42 张、约 10 万行）</w:t>
            </w:r>
          </w:p>
        </w:tc>
        <w:tc>
          <w:tcPr>
            <w:tcW w:type="dxa" w:w="2409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Microsoft YaHei" w:hAnsi="Arial"/>
                <w:b/>
                <w:bCs/>
                <w:color w:val="0A5FB4"/>
                <w:sz w:val="32"/>
                <w:szCs w:val="32"/>
              </w:rPr>
              <w:t xml:space="preserve">11 类</w:t>
            </w:r>
          </w:p>
          <w:p>
            <w:pPr>
              <w:spacing w:line="280"/>
            </w:pPr>
            <w:r>
              <w:rPr>
                <w:rFonts w:ascii="Arial" w:cs="Arial" w:eastAsia="Microsoft YaHei" w:hAnsi="Arial"/>
                <w:color w:val="585E68"/>
                <w:sz w:val="17"/>
                <w:szCs w:val="17"/>
              </w:rPr>
              <w:t xml:space="preserve">OA 审批流程，样本中约 9.5 万条审批节点记录</w:t>
            </w:r>
          </w:p>
        </w:tc>
        <w:tc>
          <w:tcPr>
            <w:tcW w:type="dxa" w:w="2409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Microsoft YaHei" w:hAnsi="Arial"/>
                <w:b/>
                <w:bCs/>
                <w:color w:val="0A5FB4"/>
                <w:sz w:val="32"/>
                <w:szCs w:val="32"/>
              </w:rPr>
              <w:t xml:space="preserve">12 周</w:t>
            </w:r>
          </w:p>
          <w:p>
            <w:pPr>
              <w:spacing w:line="280"/>
            </w:pPr>
            <w:r>
              <w:rPr>
                <w:rFonts w:ascii="Arial" w:cs="Arial" w:eastAsia="Microsoft YaHei" w:hAnsi="Arial"/>
                <w:color w:val="585E68"/>
                <w:sz w:val="17"/>
                <w:szCs w:val="17"/>
              </w:rPr>
              <w:t xml:space="preserve">签约后上线，之后陪跑 8 周</w:t>
            </w:r>
          </w:p>
        </w:tc>
        <w:tc>
          <w:tcPr>
            <w:tcW w:type="dxa" w:w="2411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Microsoft YaHei" w:hAnsi="Arial"/>
                <w:b/>
                <w:bCs/>
                <w:color w:val="0A5FB4"/>
                <w:sz w:val="32"/>
                <w:szCs w:val="32"/>
              </w:rPr>
              <w:t xml:space="preserve">26 人天</w:t>
            </w:r>
          </w:p>
          <w:p>
            <w:pPr>
              <w:spacing w:line="280"/>
            </w:pPr>
            <w:r>
              <w:rPr>
                <w:rFonts w:ascii="Arial" w:cs="Arial" w:eastAsia="Microsoft YaHei" w:hAnsi="Arial"/>
                <w:color w:val="585E68"/>
                <w:sz w:val="17"/>
                <w:szCs w:val="17"/>
              </w:rPr>
              <w:t xml:space="preserve">实施投入（明细见第五节）</w:t>
            </w:r>
          </w:p>
        </w:tc>
      </w:tr>
    </w:tbl>
    <w:p>
      <w:pPr>
        <w:spacing w:after="80"/>
      </w:pPr>
    </w:p>
    <w:p>
      <w:pPr>
        <w:pStyle w:val="Heading1"/>
        <w:keepNext/>
        <w:pBdr>
          <w:left w:val="single" w:color="0B77E2" w:sz="24" w:space="8"/>
        </w:pBdr>
        <w:spacing w:after="140" w:before="360"/>
      </w:pPr>
      <w:r>
        <w:rPr>
          <w:rFonts w:ascii="Arial" w:cs="Arial" w:eastAsia="Microsoft YaHei" w:hAnsi="Arial"/>
          <w:b/>
          <w:bCs/>
          <w:color w:val="1A1C1F"/>
          <w:sz w:val="28"/>
          <w:szCs w:val="28"/>
        </w:rPr>
        <w:t xml:space="preserve">一、现状与痛点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Microsoft YaHei" w:hAnsi="Arial"/>
                <w:b/>
                <w:bCs/>
                <w:color w:val="1A1C1F"/>
                <w:sz w:val="21"/>
                <w:szCs w:val="21"/>
              </w:rPr>
              <w:t xml:space="preserve">单子走到哪，要翻几个系统</w:t>
            </w:r>
          </w:p>
          <w:p>
            <w:pPr>
              <w:spacing w:line="300"/>
            </w:pPr>
            <w:r>
              <w:rPr>
                <w:rFonts w:ascii="Arial" w:cs="Arial" w:eastAsia="Microsoft YaHei" w:hAnsi="Arial"/>
                <w:color w:val="585E68"/>
                <w:sz w:val="19"/>
                <w:szCs w:val="19"/>
              </w:rPr>
              <w:t xml:space="preserve">需求在 SAP/OA 发起，寻源、定价、合同、订单、送货、对账在 SRM，审批在 OA。问一句「这张 PR 现在到哪了」，要跨系统逐个查。</w:t>
            </w:r>
          </w:p>
        </w:tc>
        <w:tc>
          <w:tcPr>
            <w:tcW w:type="dxa" w:w="4819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Microsoft YaHei" w:hAnsi="Arial"/>
                <w:b/>
                <w:bCs/>
                <w:color w:val="1A1C1F"/>
                <w:sz w:val="21"/>
                <w:szCs w:val="21"/>
              </w:rPr>
              <w:t xml:space="preserve">卡住了没人知道</w:t>
            </w:r>
          </w:p>
          <w:p>
            <w:pPr>
              <w:spacing w:line="300"/>
            </w:pPr>
            <w:r>
              <w:rPr>
                <w:rFonts w:ascii="Arial" w:cs="Arial" w:eastAsia="Microsoft YaHei" w:hAnsi="Arial"/>
                <w:color w:val="585E68"/>
                <w:sz w:val="19"/>
                <w:szCs w:val="19"/>
              </w:rPr>
              <w:t xml:space="preserve">PR 进了需求池没人认领、报价结束迟迟不定标、定价归档后迟迟不签合同——这些停留现在没有自动提醒，靠采购员自己记。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Microsoft YaHei" w:hAnsi="Arial"/>
                <w:b/>
                <w:bCs/>
                <w:color w:val="1A1C1F"/>
                <w:sz w:val="21"/>
                <w:szCs w:val="21"/>
              </w:rPr>
              <w:t xml:space="preserve">审批长尾明显</w:t>
            </w:r>
          </w:p>
          <w:p>
            <w:pPr>
              <w:spacing w:line="300"/>
            </w:pPr>
            <w:r>
              <w:rPr>
                <w:rFonts w:ascii="Arial" w:cs="Arial" w:eastAsia="Microsoft YaHei" w:hAnsi="Arial"/>
                <w:color w:val="585E68"/>
                <w:sz w:val="19"/>
                <w:szCs w:val="19"/>
              </w:rPr>
              <w:t xml:space="preserve">样本中合同、订单类审批的单个节点，一半在 1 小时内处理完，但最慢的一成要等 44–55 小时以上；长尾集中在少数单据上，正适合按单提醒。</w:t>
            </w:r>
          </w:p>
        </w:tc>
        <w:tc>
          <w:tcPr>
            <w:tcW w:type="dxa" w:w="4819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Microsoft YaHei" w:hAnsi="Arial"/>
                <w:b/>
                <w:bCs/>
                <w:color w:val="1A1C1F"/>
                <w:sz w:val="21"/>
                <w:szCs w:val="21"/>
              </w:rPr>
              <w:t xml:space="preserve">收货、收票、付款衔接靠人盯</w:t>
            </w:r>
          </w:p>
          <w:p>
            <w:pPr>
              <w:spacing w:line="300"/>
            </w:pPr>
            <w:r>
              <w:rPr>
                <w:rFonts w:ascii="Arial" w:cs="Arial" w:eastAsia="Microsoft YaHei" w:hAnsi="Arial"/>
                <w:color w:val="585E68"/>
                <w:sz w:val="19"/>
                <w:szCs w:val="19"/>
              </w:rPr>
              <w:t xml:space="preserve">临近供货期未发货、收货后未收票、收票后未付款，是需求原文里点名要预警的三类情况，目前没有统一清单。</w:t>
            </w:r>
          </w:p>
        </w:tc>
      </w:tr>
    </w:tbl>
    <w:p>
      <w:pPr>
        <w:spacing w:after="80"/>
      </w:pPr>
    </w:p>
    <w:p>
      <w:pPr>
        <w:spacing w:after="160" w:before="60" w:line="300"/>
      </w:pPr>
      <w:r>
        <w:rPr>
          <w:rFonts w:ascii="Arial" w:cs="Arial" w:eastAsia="Microsoft YaHei" w:hAnsi="Arial"/>
          <w:color w:val="585E68"/>
          <w:sz w:val="18"/>
          <w:szCs w:val="18"/>
        </w:rPr>
        <w:t xml:space="preserve">以上数据来自盈德提供的材料组 7–8 月数据与 OA 审批流导出；审批节点耗时按「到达节点时间 → 审批操作时间」计算，正式口径在 T2 与业务对齐后为准。</w:t>
      </w:r>
    </w:p>
    <w:p>
      <w:pPr>
        <w:pStyle w:val="Heading1"/>
        <w:keepNext/>
        <w:pBdr>
          <w:left w:val="single" w:color="0B77E2" w:sz="24" w:space="8"/>
        </w:pBdr>
        <w:spacing w:after="140" w:before="360"/>
      </w:pPr>
      <w:r>
        <w:rPr>
          <w:rFonts w:ascii="Arial" w:cs="Arial" w:eastAsia="Microsoft YaHei" w:hAnsi="Arial"/>
          <w:b/>
          <w:bCs/>
          <w:color w:val="1A1C1F"/>
          <w:sz w:val="28"/>
          <w:szCs w:val="28"/>
        </w:rPr>
        <w:t xml:space="preserve">二、系统做什么</w:t>
      </w:r>
    </w:p>
    <w:p>
      <w:pPr>
        <w:spacing w:after="60" w:before="120"/>
        <w:jc w:val="center"/>
      </w:pPr>
      <w:r>
        <w:drawing>
          <wp:inline distT="0" distB="0" distL="0" distR="0">
            <wp:extent cx="5905500" cy="857250"/>
            <wp:effectExtent t="0" r="0" b="0" l="0"/>
            <wp:docPr id="1" name="figure" descr="图 1　一条采购需求的全链路：每个环节都按配置的阈值计算停留天数，🟢正常 / 🟡关注 / 🔴预警" title="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Arial" w:cs="Arial" w:eastAsia="Microsoft YaHei" w:hAnsi="Arial"/>
          <w:color w:val="969CA6"/>
          <w:sz w:val="17"/>
          <w:szCs w:val="17"/>
        </w:rPr>
        <w:t xml:space="preserve">图 1　一条采购需求的全链路：每个环节都按配置的阈值计算停留天数，🟢正常 / 🟡关注 / 🔴预警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38"/>
      </w:tblGrid>
      <w:tr>
        <w:trPr>
          <w:cantSplit/>
          <w:tblHeader/>
        </w:trPr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585E68"/>
                <w:sz w:val="19"/>
                <w:szCs w:val="19"/>
              </w:rPr>
              <w:t xml:space="preserve">能力</w:t>
            </w:r>
          </w:p>
        </w:tc>
        <w:tc>
          <w:tcPr>
            <w:tcW w:type="dxa" w:w="77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585E68"/>
                <w:sz w:val="19"/>
                <w:szCs w:val="19"/>
              </w:rPr>
              <w:t xml:space="preserve">说明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智能查询</w:t>
            </w:r>
          </w:p>
        </w:tc>
        <w:tc>
          <w:tcPr>
            <w:tcW w:type="dxa" w:w="77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按 PR 号、寻源项目、合同/订单号、供应商、物料直接问：现在在哪个环节、停了几天、等谁处理、下一步是什么；支持「我名下还有哪些单子卡着」这类问题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阶段停留预警</w:t>
            </w:r>
          </w:p>
        </w:tc>
        <w:tc>
          <w:tcPr>
            <w:tcW w:type="dxa" w:w="77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按《预警阈值配置表》表 1 的 6 个阶段：入池→分配、寻源、定标、定标审批、合同签订、合同/订单审批；一般采购 </w:t>
            </w:r>
            <w:r>
              <w:rPr>
                <w:rFonts w:ascii="Arial" w:cs="Arial" w:eastAsia="Microsoft YaHei" w:hAnsi="Arial"/>
                <w:color w:val="2A8F1F"/>
                <w:sz w:val="19"/>
                <w:szCs w:val="19"/>
              </w:rPr>
              <w:t xml:space="preserve"> </w:t>
            </w:r>
            <w:r>
              <w:rPr>
                <w:rFonts w:ascii="Arial" w:cs="Arial" w:eastAsia="Microsoft YaHei" w:hAnsi="Arial"/>
                <w:color w:val="2A8F1F"/>
                <w:sz w:val="19"/>
                <w:szCs w:val="19"/>
              </w:rPr>
              <w:t xml:space="preserve">≤2 天</w:t>
            </w:r>
            <w:r>
              <w:rPr>
                <w:rFonts w:ascii="Arial" w:cs="Arial" w:eastAsia="Microsoft YaHei" w:hAnsi="Arial"/>
                <w:color w:val="A65F00"/>
                <w:sz w:val="19"/>
                <w:szCs w:val="19"/>
              </w:rPr>
              <w:t xml:space="preserve"> </w:t>
            </w:r>
            <w:r>
              <w:rPr>
                <w:rFonts w:ascii="Arial" w:cs="Arial" w:eastAsia="Microsoft YaHei" w:hAnsi="Arial"/>
                <w:color w:val="A65F00"/>
                <w:sz w:val="19"/>
                <w:szCs w:val="19"/>
              </w:rPr>
              <w:t xml:space="preserve">&gt;2 天</w:t>
            </w:r>
            <w:r>
              <w:rPr>
                <w:rFonts w:ascii="Arial" w:cs="Arial" w:eastAsia="Microsoft YaHei" w:hAnsi="Arial"/>
                <w:color w:val="D83931"/>
                <w:sz w:val="19"/>
                <w:szCs w:val="19"/>
              </w:rPr>
              <w:t xml:space="preserve"> </w:t>
            </w:r>
            <w:r>
              <w:rPr>
                <w:rFonts w:ascii="Arial" w:cs="Arial" w:eastAsia="Microsoft YaHei" w:hAnsi="Arial"/>
                <w:color w:val="D83931"/>
                <w:sz w:val="19"/>
                <w:szCs w:val="19"/>
              </w:rPr>
              <w:t xml:space="preserve">&gt;5 天</w:t>
            </w: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，紧急采购 1 / 1 / 3 天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临近节点异常预警</w:t>
            </w:r>
          </w:p>
        </w:tc>
        <w:tc>
          <w:tcPr>
            <w:tcW w:type="dxa" w:w="77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表 2 的三类：临近供货期（剩余 5 天关注、2 天预警）、收货未收票（超 2 天）、收票未付款（超预计付款日 2 天）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阈值配置中心</w:t>
            </w:r>
          </w:p>
        </w:tc>
        <w:tc>
          <w:tcPr>
            <w:tcW w:type="dxa" w:w="77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业务在页面上调阈值、提示语、提醒对象，不用改代码；首批数值取自盈德填写的「业务确认值」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每日清单与提醒</w:t>
            </w:r>
          </w:p>
        </w:tc>
        <w:tc>
          <w:tcPr>
            <w:tcW w:type="dxa" w:w="77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每天（T+1）计算一次，按人生成待处理清单；提醒推给 PR 所属采购组、采购员、寻源创建人、合同/订单创建人等对应的人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入口</w:t>
            </w:r>
          </w:p>
        </w:tc>
        <w:tc>
          <w:tcPr>
            <w:tcW w:type="dxa" w:w="77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通过豆包工作提问和查看清单；与物料主数据项目同一环境与模型通道。提醒推送渠道（企业微信或飞书）在 T0 确认，本期接一种</w:t>
            </w:r>
          </w:p>
        </w:tc>
      </w:tr>
    </w:tbl>
    <w:p>
      <w:pPr>
        <w:spacing w:after="60"/>
      </w:pPr>
    </w:p>
    <w:p>
      <w:pPr>
        <w:pStyle w:val="Heading1"/>
        <w:keepNext/>
        <w:pBdr>
          <w:left w:val="single" w:color="0B77E2" w:sz="24" w:space="8"/>
        </w:pBdr>
        <w:spacing w:after="140" w:before="360"/>
      </w:pPr>
      <w:r>
        <w:rPr>
          <w:rFonts w:ascii="Arial" w:cs="Arial" w:eastAsia="Microsoft YaHei" w:hAnsi="Arial"/>
          <w:b/>
          <w:bCs/>
          <w:color w:val="1A1C1F"/>
          <w:sz w:val="28"/>
          <w:szCs w:val="28"/>
        </w:rPr>
        <w:t xml:space="preserve">三、怎么落地：分 8 步，每步交付什么</w:t>
      </w:r>
    </w:p>
    <w:p>
      <w:pPr>
        <w:spacing w:after="120" w:line="330"/>
      </w:pPr>
      <w:r>
        <w:rPr>
          <w:rFonts w:ascii="Arial" w:cs="Arial" w:eastAsia="Microsoft YaHei" w:hAnsi="Arial"/>
          <w:color w:val="1A1C1F"/>
          <w:sz w:val="21"/>
          <w:szCs w:val="21"/>
        </w:rPr>
        <w:t xml:space="preserve">前一半时间花在数据上：</w:t>
      </w:r>
      <w:r>
        <w:rPr>
          <w:rFonts w:ascii="Arial" w:cs="Arial" w:eastAsia="Microsoft YaHei" w:hAnsi="Arial"/>
          <w:b/>
          <w:bCs/>
          <w:color w:val="1A1C1F"/>
          <w:sz w:val="21"/>
          <w:szCs w:val="21"/>
        </w:rPr>
        <w:t xml:space="preserve">先接得进来</w:t>
      </w:r>
      <w:r>
        <w:rPr>
          <w:rFonts w:ascii="Arial" w:cs="Arial" w:eastAsia="Microsoft YaHei" w:hAnsi="Arial"/>
          <w:color w:val="1A1C1F"/>
          <w:sz w:val="21"/>
          <w:szCs w:val="21"/>
        </w:rPr>
        <w:t xml:space="preserve">（T1），</w:t>
      </w:r>
      <w:r>
        <w:rPr>
          <w:rFonts w:ascii="Arial" w:cs="Arial" w:eastAsia="Microsoft YaHei" w:hAnsi="Arial"/>
          <w:b/>
          <w:bCs/>
          <w:color w:val="1A1C1F"/>
          <w:sz w:val="21"/>
          <w:szCs w:val="21"/>
        </w:rPr>
        <w:t xml:space="preserve">再串得起来、算得对</w:t>
      </w:r>
      <w:r>
        <w:rPr>
          <w:rFonts w:ascii="Arial" w:cs="Arial" w:eastAsia="Microsoft YaHei" w:hAnsi="Arial"/>
          <w:color w:val="1A1C1F"/>
          <w:sz w:val="21"/>
          <w:szCs w:val="21"/>
        </w:rPr>
        <w:t xml:space="preserve">（T2，与业务逐项核对口径）；能力构建（T3）在口径基本确定后并行推进。上线前两周人机并行，采购员每天对着系统清单核一遍，误报漏报回流修正。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1470"/>
        <w:gridCol w:w="3893"/>
        <w:gridCol w:w="1275"/>
        <w:gridCol w:w="1500"/>
      </w:tblGrid>
      <w:tr>
        <w:trPr>
          <w:cantSplit/>
          <w:tblHeader/>
        </w:trPr>
        <w:tc>
          <w:tcPr>
            <w:tcW w:type="dxa" w:w="15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585E68"/>
                <w:sz w:val="19"/>
                <w:szCs w:val="19"/>
              </w:rPr>
              <w:t xml:space="preserve">阶段</w:t>
            </w:r>
          </w:p>
        </w:tc>
        <w:tc>
          <w:tcPr>
            <w:tcW w:type="dxa" w:w="147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585E68"/>
                <w:sz w:val="19"/>
                <w:szCs w:val="19"/>
              </w:rPr>
              <w:t xml:space="preserve">时间</w:t>
            </w:r>
          </w:p>
        </w:tc>
        <w:tc>
          <w:tcPr>
            <w:tcW w:type="dxa" w:w="3893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585E68"/>
                <w:sz w:val="19"/>
                <w:szCs w:val="19"/>
              </w:rPr>
              <w:t xml:space="preserve">我们做什么</w:t>
            </w:r>
          </w:p>
        </w:tc>
        <w:tc>
          <w:tcPr>
            <w:tcW w:type="dxa" w:w="1275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585E68"/>
                <w:sz w:val="19"/>
                <w:szCs w:val="19"/>
              </w:rPr>
              <w:t xml:space="preserve">盈德配合</w:t>
            </w:r>
          </w:p>
        </w:tc>
        <w:tc>
          <w:tcPr>
            <w:tcW w:type="dxa" w:w="15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585E68"/>
                <w:sz w:val="19"/>
                <w:szCs w:val="19"/>
              </w:rPr>
              <w:t xml:space="preserve">里程碑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A1C1F"/>
                <w:sz w:val="19"/>
                <w:szCs w:val="19"/>
              </w:rPr>
              <w:t xml:space="preserve">T0 立项与口径对齐</w:t>
            </w:r>
          </w:p>
        </w:tc>
        <w:tc>
          <w:tcPr>
            <w:tcW w:type="dxa" w:w="147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第 1 周</w:t>
            </w:r>
          </w:p>
        </w:tc>
        <w:tc>
          <w:tcPr>
            <w:tcW w:type="dxa" w:w="3893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启动会；逐项过《预警阈值配置表》与待确认事项；确定首批查询场景、提醒对象与推送渠道</w:t>
            </w:r>
          </w:p>
        </w:tc>
        <w:tc>
          <w:tcPr>
            <w:tcW w:type="dxa" w:w="1275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采购部指定业务负责人；IT 指定数据接口人</w:t>
            </w:r>
          </w:p>
        </w:tc>
        <w:tc>
          <w:tcPr>
            <w:tcW w:type="dxa" w:w="15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项目计划与口径清单确认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A1C1F"/>
                <w:sz w:val="19"/>
                <w:szCs w:val="19"/>
              </w:rPr>
              <w:t xml:space="preserve">T1 数据接入</w:t>
            </w:r>
          </w:p>
        </w:tc>
        <w:tc>
          <w:tcPr>
            <w:tcW w:type="dxa" w:w="147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第 2–3 周</w:t>
            </w:r>
          </w:p>
        </w:tc>
        <w:tc>
          <w:tcPr>
            <w:tcW w:type="dxa" w:w="3893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以只读方式接入 SRM、SAP、OA 审批流：需求、寻源、定价、合同、订单、送货、入库、对账、发票、付款共约 50 张业务表；建立每日（T+1）同步</w:t>
            </w:r>
          </w:p>
        </w:tc>
        <w:tc>
          <w:tcPr>
            <w:tcW w:type="dxa" w:w="1275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开通只读账号或每日数据抽取</w:t>
            </w:r>
          </w:p>
        </w:tc>
        <w:tc>
          <w:tcPr>
            <w:tcW w:type="dxa" w:w="15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全部业务表每日同步跑通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A1C1F"/>
                <w:sz w:val="19"/>
                <w:szCs w:val="19"/>
              </w:rPr>
              <w:t xml:space="preserve">T2 数据工程与口径对齐</w:t>
            </w:r>
          </w:p>
        </w:tc>
        <w:tc>
          <w:tcPr>
            <w:tcW w:type="dxa" w:w="147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第 3–6 周</w:t>
            </w:r>
          </w:p>
        </w:tc>
        <w:tc>
          <w:tcPr>
            <w:tcW w:type="dxa" w:w="3893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把一条采购需求从 PR 到付款串成一条链（PR→寻源→定价→合同/订单→送货→入库→对账/发票→付款）；按业务口径定义每个阶段的起点、终点与停留天数；一般采购与紧急采购分开计算；抽样与业务逐条核对</w:t>
            </w:r>
          </w:p>
        </w:tc>
        <w:tc>
          <w:tcPr>
            <w:tcW w:type="dxa" w:w="1275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采购员按周核对抽样结果，确认口径</w:t>
            </w:r>
          </w:p>
        </w:tc>
        <w:tc>
          <w:tcPr>
            <w:tcW w:type="dxa" w:w="15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全链路串联与口径签认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A1C1F"/>
                <w:sz w:val="19"/>
                <w:szCs w:val="19"/>
              </w:rPr>
              <w:t xml:space="preserve">T3 助手能力构建</w:t>
            </w:r>
          </w:p>
        </w:tc>
        <w:tc>
          <w:tcPr>
            <w:tcW w:type="dxa" w:w="147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第 5–8 周</w:t>
            </w:r>
          </w:p>
        </w:tc>
        <w:tc>
          <w:tcPr>
            <w:tcW w:type="dxa" w:w="3893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智能查询（按 PR 号 / 订单号 / 供应商 / 物料随问随答当前进度和卡点）；阶段停留预警（6 个阶段）；临近供货期、收货未收票、收票未付款预警；阈值配置中心；每日待办清单与提醒推送</w:t>
            </w:r>
          </w:p>
        </w:tc>
        <w:tc>
          <w:tcPr>
            <w:tcW w:type="dxa" w:w="1275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确认提示语与提醒对象</w:t>
            </w:r>
          </w:p>
        </w:tc>
        <w:tc>
          <w:tcPr>
            <w:tcW w:type="dxa" w:w="15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—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A1C1F"/>
                <w:sz w:val="19"/>
                <w:szCs w:val="19"/>
              </w:rPr>
              <w:t xml:space="preserve">T4 部署与集成</w:t>
            </w:r>
          </w:p>
        </w:tc>
        <w:tc>
          <w:tcPr>
            <w:tcW w:type="dxa" w:w="147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第 9 周</w:t>
            </w:r>
          </w:p>
        </w:tc>
        <w:tc>
          <w:tcPr>
            <w:tcW w:type="dxa" w:w="3893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部署测试与生产环境；接入豆包工作入口（与物料主数据项目同一环境与模型通道）；接通一种提醒推送渠道</w:t>
            </w:r>
          </w:p>
        </w:tc>
        <w:tc>
          <w:tcPr>
            <w:tcW w:type="dxa" w:w="1275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提供环境与账号权限</w:t>
            </w:r>
          </w:p>
        </w:tc>
        <w:tc>
          <w:tcPr>
            <w:tcW w:type="dxa" w:w="15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全流程演示通过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A1C1F"/>
                <w:sz w:val="19"/>
                <w:szCs w:val="19"/>
              </w:rPr>
              <w:t xml:space="preserve">T5 人机并行与 UAT</w:t>
            </w:r>
          </w:p>
        </w:tc>
        <w:tc>
          <w:tcPr>
            <w:tcW w:type="dxa" w:w="147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第 10–11 周</w:t>
            </w:r>
          </w:p>
        </w:tc>
        <w:tc>
          <w:tcPr>
            <w:tcW w:type="dxa" w:w="3893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两周并行：采购员照常跟单，系统每日出预警清单，逐条对照实际情况打标，误报漏报回流修正口径</w:t>
            </w:r>
          </w:p>
        </w:tc>
        <w:tc>
          <w:tcPr>
            <w:tcW w:type="dxa" w:w="1275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采购员每日查看清单并反馈；组织 UAT</w:t>
            </w:r>
          </w:p>
        </w:tc>
        <w:tc>
          <w:tcPr>
            <w:tcW w:type="dxa" w:w="15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签署 UAT 报告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A1C1F"/>
                <w:sz w:val="19"/>
                <w:szCs w:val="19"/>
              </w:rPr>
              <w:t xml:space="preserve">T6 上线与培训</w:t>
            </w:r>
          </w:p>
        </w:tc>
        <w:tc>
          <w:tcPr>
            <w:tcW w:type="dxa" w:w="147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第 12 周</w:t>
            </w:r>
          </w:p>
        </w:tc>
        <w:tc>
          <w:tcPr>
            <w:tcW w:type="dxa" w:w="3893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生产环境上线；培训 2 场（采购员使用、阈值配置管理员）</w:t>
            </w:r>
          </w:p>
        </w:tc>
        <w:tc>
          <w:tcPr>
            <w:tcW w:type="dxa" w:w="1275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组织培训与账号开通</w:t>
            </w:r>
          </w:p>
        </w:tc>
        <w:tc>
          <w:tcPr>
            <w:tcW w:type="dxa" w:w="15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正式上线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A1C1F"/>
                <w:sz w:val="19"/>
                <w:szCs w:val="19"/>
              </w:rPr>
              <w:t xml:space="preserve">T7 运维与陪跑</w:t>
            </w:r>
          </w:p>
        </w:tc>
        <w:tc>
          <w:tcPr>
            <w:tcW w:type="dxa" w:w="147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上线后 8 周</w:t>
            </w:r>
          </w:p>
        </w:tc>
        <w:tc>
          <w:tcPr>
            <w:tcW w:type="dxa" w:w="3893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维保与陪跑，口径与阈值持续校准；移交交付物</w:t>
            </w:r>
          </w:p>
        </w:tc>
        <w:tc>
          <w:tcPr>
            <w:tcW w:type="dxa" w:w="1275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明确阈值与口径的维护责任人</w:t>
            </w:r>
          </w:p>
        </w:tc>
        <w:tc>
          <w:tcPr>
            <w:tcW w:type="dxa" w:w="15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交付物签收</w:t>
            </w:r>
          </w:p>
        </w:tc>
      </w:tr>
    </w:tbl>
    <w:p>
      <w:pPr>
        <w:spacing w:after="60"/>
      </w:pPr>
    </w:p>
    <w:p>
      <w:pPr>
        <w:pStyle w:val="Heading1"/>
        <w:keepNext/>
        <w:pBdr>
          <w:left w:val="single" w:color="0B77E2" w:sz="24" w:space="8"/>
        </w:pBdr>
        <w:spacing w:after="140" w:before="360"/>
      </w:pPr>
      <w:r>
        <w:rPr>
          <w:rFonts w:ascii="Arial" w:cs="Arial" w:eastAsia="Microsoft YaHei" w:hAnsi="Arial"/>
          <w:b/>
          <w:bCs/>
          <w:color w:val="1A1C1F"/>
          <w:sz w:val="28"/>
          <w:szCs w:val="28"/>
        </w:rPr>
        <w:t xml:space="preserve">四、验收标准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0"/>
        <w:gridCol w:w="5775"/>
        <w:gridCol w:w="2563"/>
      </w:tblGrid>
      <w:tr>
        <w:trPr>
          <w:cantSplit/>
          <w:tblHeader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585E68"/>
                <w:sz w:val="19"/>
                <w:szCs w:val="19"/>
              </w:rPr>
              <w:t xml:space="preserve">验收项</w:t>
            </w:r>
          </w:p>
        </w:tc>
        <w:tc>
          <w:tcPr>
            <w:tcW w:type="dxa" w:w="5775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585E68"/>
                <w:sz w:val="19"/>
                <w:szCs w:val="19"/>
              </w:rPr>
              <w:t xml:space="preserve">标准</w:t>
            </w:r>
          </w:p>
        </w:tc>
        <w:tc>
          <w:tcPr>
            <w:tcW w:type="dxa" w:w="2563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585E68"/>
                <w:sz w:val="19"/>
                <w:szCs w:val="19"/>
              </w:rPr>
              <w:t xml:space="preserve">说明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全链路串联</w:t>
            </w:r>
          </w:p>
        </w:tc>
        <w:tc>
          <w:tcPr>
            <w:tcW w:type="dxa" w:w="5775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抽样 200 条 PR 行，能追溯到当前所处环节的比例 ≥ 95%</w:t>
            </w:r>
          </w:p>
        </w:tc>
        <w:tc>
          <w:tcPr>
            <w:tcW w:type="dxa" w:w="2563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源系统本身缺失关联字段的不计入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预警准确</w:t>
            </w:r>
          </w:p>
        </w:tc>
        <w:tc>
          <w:tcPr>
            <w:tcW w:type="dxa" w:w="5775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UAT 期间系统预警清单与采购员核对结果一致率 ≥ 95%</w:t>
            </w:r>
          </w:p>
        </w:tc>
        <w:tc>
          <w:tcPr>
            <w:tcW w:type="dxa" w:w="2563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以 T2 签认的口径与阈值为准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智能查询</w:t>
            </w:r>
          </w:p>
        </w:tc>
        <w:tc>
          <w:tcPr>
            <w:tcW w:type="dxa" w:w="5775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业务提供的 30 个典型问题，回答的环节、停留天数、处理人正确率 ≥ 90%</w:t>
            </w:r>
          </w:p>
        </w:tc>
        <w:tc>
          <w:tcPr>
            <w:tcW w:type="dxa" w:w="2563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问题清单在 T0 确定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流程可用</w:t>
            </w:r>
          </w:p>
        </w:tc>
        <w:tc>
          <w:tcPr>
            <w:tcW w:type="dxa" w:w="5775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数据每日同步 → 计算 → 清单 → 推送 → 查询，连续 10 个工作日稳定运行</w:t>
            </w:r>
          </w:p>
        </w:tc>
        <w:tc>
          <w:tcPr>
            <w:tcW w:type="dxa" w:w="2563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</w:p>
        </w:tc>
      </w:tr>
    </w:tbl>
    <w:p>
      <w:pPr>
        <w:spacing w:after="60"/>
      </w:pPr>
    </w:p>
    <w:p>
      <w:pPr>
        <w:pStyle w:val="Heading1"/>
        <w:keepNext/>
        <w:pBdr>
          <w:left w:val="single" w:color="0B77E2" w:sz="24" w:space="8"/>
        </w:pBdr>
        <w:spacing w:after="140" w:before="360"/>
      </w:pPr>
      <w:r>
        <w:rPr>
          <w:rFonts w:ascii="Arial" w:cs="Arial" w:eastAsia="Microsoft YaHei" w:hAnsi="Arial"/>
          <w:b/>
          <w:bCs/>
          <w:color w:val="1A1C1F"/>
          <w:sz w:val="28"/>
          <w:szCs w:val="28"/>
        </w:rPr>
        <w:t xml:space="preserve">五、周期与人天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5538"/>
        <w:gridCol w:w="700"/>
        <w:gridCol w:w="1900"/>
      </w:tblGrid>
      <w:tr>
        <w:trPr>
          <w:cantSplit/>
          <w:tblHeader/>
        </w:trPr>
        <w:tc>
          <w:tcPr>
            <w:tcW w:type="dxa" w:w="15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585E68"/>
                <w:sz w:val="19"/>
                <w:szCs w:val="19"/>
              </w:rPr>
              <w:t xml:space="preserve">阶段</w:t>
            </w:r>
          </w:p>
        </w:tc>
        <w:tc>
          <w:tcPr>
            <w:tcW w:type="dxa" w:w="55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585E68"/>
                <w:sz w:val="19"/>
                <w:szCs w:val="19"/>
              </w:rPr>
              <w:t xml:space="preserve">时间</w:t>
            </w:r>
          </w:p>
        </w:tc>
        <w:tc>
          <w:tcPr>
            <w:tcW w:type="dxa" w:w="7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b/>
                <w:bCs/>
                <w:color w:val="585E68"/>
                <w:sz w:val="19"/>
                <w:szCs w:val="19"/>
              </w:rPr>
              <w:t xml:space="preserve">人天</w:t>
            </w:r>
          </w:p>
        </w:tc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b/>
                <w:bCs/>
                <w:color w:val="585E68"/>
                <w:sz w:val="19"/>
                <w:szCs w:val="19"/>
              </w:rPr>
              <w:t xml:space="preserve">金额（元，含税）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T0 立项与口径对齐</w:t>
            </w:r>
          </w:p>
        </w:tc>
        <w:tc>
          <w:tcPr>
            <w:tcW w:type="dxa" w:w="55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第 1 周</w:t>
            </w:r>
          </w:p>
        </w:tc>
        <w:tc>
          <w:tcPr>
            <w:tcW w:type="dxa" w:w="7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2</w:t>
            </w:r>
          </w:p>
        </w:tc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12,000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T1 数据接入</w:t>
            </w:r>
          </w:p>
        </w:tc>
        <w:tc>
          <w:tcPr>
            <w:tcW w:type="dxa" w:w="55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第 2–3 周</w:t>
            </w:r>
          </w:p>
        </w:tc>
        <w:tc>
          <w:tcPr>
            <w:tcW w:type="dxa" w:w="7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6</w:t>
            </w:r>
          </w:p>
        </w:tc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36,000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T2 数据工程与口径对齐</w:t>
            </w:r>
          </w:p>
        </w:tc>
        <w:tc>
          <w:tcPr>
            <w:tcW w:type="dxa" w:w="55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第 3–6 周</w:t>
            </w:r>
          </w:p>
        </w:tc>
        <w:tc>
          <w:tcPr>
            <w:tcW w:type="dxa" w:w="7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6</w:t>
            </w:r>
          </w:p>
        </w:tc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36,000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T3 助手能力构建</w:t>
            </w:r>
          </w:p>
        </w:tc>
        <w:tc>
          <w:tcPr>
            <w:tcW w:type="dxa" w:w="55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第 5–8 周</w:t>
            </w:r>
          </w:p>
        </w:tc>
        <w:tc>
          <w:tcPr>
            <w:tcW w:type="dxa" w:w="7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5</w:t>
            </w:r>
          </w:p>
        </w:tc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30,000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T4 部署与集成</w:t>
            </w:r>
          </w:p>
        </w:tc>
        <w:tc>
          <w:tcPr>
            <w:tcW w:type="dxa" w:w="55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第 9 周</w:t>
            </w:r>
          </w:p>
        </w:tc>
        <w:tc>
          <w:tcPr>
            <w:tcW w:type="dxa" w:w="7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2</w:t>
            </w:r>
          </w:p>
        </w:tc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12,000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T5 人机并行与 UAT</w:t>
            </w:r>
          </w:p>
        </w:tc>
        <w:tc>
          <w:tcPr>
            <w:tcW w:type="dxa" w:w="55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第 10–11 周</w:t>
            </w:r>
          </w:p>
        </w:tc>
        <w:tc>
          <w:tcPr>
            <w:tcW w:type="dxa" w:w="7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3</w:t>
            </w:r>
          </w:p>
        </w:tc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18,000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T6 上线与培训</w:t>
            </w:r>
          </w:p>
        </w:tc>
        <w:tc>
          <w:tcPr>
            <w:tcW w:type="dxa" w:w="55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第 12 周</w:t>
            </w:r>
          </w:p>
        </w:tc>
        <w:tc>
          <w:tcPr>
            <w:tcW w:type="dxa" w:w="7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1</w:t>
            </w:r>
          </w:p>
        </w:tc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6,000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T7 运维与陪跑</w:t>
            </w:r>
          </w:p>
        </w:tc>
        <w:tc>
          <w:tcPr>
            <w:tcW w:type="dxa" w:w="55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上线后 8 周</w:t>
            </w:r>
          </w:p>
        </w:tc>
        <w:tc>
          <w:tcPr>
            <w:tcW w:type="dxa" w:w="7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1</w:t>
            </w:r>
          </w:p>
        </w:tc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6,000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2F8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A1C1F"/>
                <w:sz w:val="19"/>
                <w:szCs w:val="19"/>
              </w:rPr>
              <w:t xml:space="preserve">合计</w:t>
            </w:r>
          </w:p>
        </w:tc>
        <w:tc>
          <w:tcPr>
            <w:tcW w:type="dxa" w:w="55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2F8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A1C1F"/>
                <w:sz w:val="19"/>
                <w:szCs w:val="19"/>
              </w:rPr>
              <w:t xml:space="preserve">签约后 12 周上线＋8 周陪跑</w:t>
            </w:r>
          </w:p>
        </w:tc>
        <w:tc>
          <w:tcPr>
            <w:tcW w:type="dxa" w:w="7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2F8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b/>
                <w:bCs/>
                <w:color w:val="1A1C1F"/>
                <w:sz w:val="19"/>
                <w:szCs w:val="19"/>
              </w:rPr>
              <w:t xml:space="preserve">26</w:t>
            </w:r>
          </w:p>
        </w:tc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2F8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b/>
                <w:bCs/>
                <w:color w:val="1A1C1F"/>
                <w:sz w:val="19"/>
                <w:szCs w:val="19"/>
              </w:rPr>
              <w:t xml:space="preserve">156,000</w:t>
            </w:r>
          </w:p>
        </w:tc>
      </w:tr>
    </w:tbl>
    <w:p>
      <w:pPr>
        <w:spacing w:after="60"/>
      </w:pPr>
    </w:p>
    <w:p>
      <w:pPr>
        <w:spacing w:after="160" w:before="60" w:line="300"/>
      </w:pPr>
      <w:r>
        <w:rPr>
          <w:rFonts w:ascii="Arial" w:cs="Arial" w:eastAsia="Microsoft YaHei" w:hAnsi="Arial"/>
          <w:color w:val="585E68"/>
          <w:sz w:val="18"/>
          <w:szCs w:val="18"/>
        </w:rPr>
        <w:t xml:space="preserve">单价 6,000 元/人天（含税），通过飞书 PSC 专业服务订单签约。固定总价：以上线并通过验收作为全部人天的一次性核销依据，实际投入多于或少于约定人天，总价均不调整。不含大模型调用资源费用（按与物料主数据项目相同的模型通道结算）。工期以盈德数据权限与口径确认按期完成为前提，延迟的相应顺延。</w:t>
      </w:r>
    </w:p>
    <w:p>
      <w:pPr>
        <w:pStyle w:val="Heading1"/>
        <w:keepNext/>
        <w:pBdr>
          <w:left w:val="single" w:color="0B77E2" w:sz="24" w:space="8"/>
        </w:pBdr>
        <w:spacing w:after="140" w:before="360"/>
      </w:pPr>
      <w:r>
        <w:rPr>
          <w:rFonts w:ascii="Arial" w:cs="Arial" w:eastAsia="Microsoft YaHei" w:hAnsi="Arial"/>
          <w:b/>
          <w:bCs/>
          <w:color w:val="1A1C1F"/>
          <w:sz w:val="28"/>
          <w:szCs w:val="28"/>
        </w:rPr>
        <w:t xml:space="preserve">六、本期不做 · 盈德需要准备</w:t>
      </w:r>
    </w:p>
    <w:p>
      <w:pPr>
        <w:pStyle w:val="Heading2"/>
        <w:keepNext/>
        <w:spacing w:after="100" w:before="200"/>
      </w:pPr>
      <w:r>
        <w:rPr>
          <w:rFonts w:ascii="Arial" w:cs="Arial" w:eastAsia="Microsoft YaHei" w:hAnsi="Arial"/>
          <w:b/>
          <w:bCs/>
          <w:color w:val="1A1C1F"/>
          <w:sz w:val="23"/>
          <w:szCs w:val="23"/>
        </w:rPr>
        <w:t xml:space="preserve">本期不做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Microsoft YaHei" w:hAnsi="Arial"/>
          <w:color w:val="1A1C1F"/>
          <w:sz w:val="21"/>
          <w:szCs w:val="21"/>
        </w:rPr>
        <w:t xml:space="preserve">向 SRM、SAP、OA 回写数据或代为发起审批（本期只读）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Microsoft YaHei" w:hAnsi="Arial"/>
          <w:color w:val="1A1C1F"/>
          <w:sz w:val="21"/>
          <w:szCs w:val="21"/>
        </w:rPr>
        <w:t xml:space="preserve">供应商绩效评价、价格分析、采购 BI 报表（可作为后续阶段）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Microsoft YaHei" w:hAnsi="Arial"/>
          <w:color w:val="1A1C1F"/>
          <w:sz w:val="21"/>
          <w:szCs w:val="21"/>
        </w:rPr>
        <w:t xml:space="preserve">第二种推送渠道、第二套部署环境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Microsoft YaHei" w:hAnsi="Arial"/>
          <w:color w:val="1A1C1F"/>
          <w:sz w:val="21"/>
          <w:szCs w:val="21"/>
        </w:rPr>
        <w:t xml:space="preserve">7–8 月样本以外的历史数据批量补算（需要时另行评估）</w:t>
      </w:r>
    </w:p>
    <w:p>
      <w:pPr>
        <w:pStyle w:val="Heading2"/>
        <w:keepNext/>
        <w:spacing w:after="100" w:before="200"/>
      </w:pPr>
      <w:r>
        <w:rPr>
          <w:rFonts w:ascii="Arial" w:cs="Arial" w:eastAsia="Microsoft YaHei" w:hAnsi="Arial"/>
          <w:b/>
          <w:bCs/>
          <w:color w:val="1A1C1F"/>
          <w:sz w:val="23"/>
          <w:szCs w:val="23"/>
        </w:rPr>
        <w:t xml:space="preserve">盈德需要准备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0"/>
        <w:gridCol w:w="8338"/>
      </w:tblGrid>
      <w:tr>
        <w:trPr>
          <w:cantSplit/>
          <w:tblHeader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585E68"/>
                <w:sz w:val="19"/>
                <w:szCs w:val="19"/>
              </w:rPr>
              <w:t xml:space="preserve">事项</w:t>
            </w:r>
          </w:p>
        </w:tc>
        <w:tc>
          <w:tcPr>
            <w:tcW w:type="dxa" w:w="83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585E68"/>
                <w:sz w:val="19"/>
                <w:szCs w:val="19"/>
              </w:rPr>
              <w:t xml:space="preserve">要求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数据权限</w:t>
            </w:r>
          </w:p>
        </w:tc>
        <w:tc>
          <w:tcPr>
            <w:tcW w:type="dxa" w:w="83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T1 开始前开通 SRM、SAP、OA 相关表的只读账号，或每日定时抽取到指定位置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阈值与口径</w:t>
            </w:r>
          </w:p>
        </w:tc>
        <w:tc>
          <w:tcPr>
            <w:tcW w:type="dxa" w:w="83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采购部填写《预警阈值配置表》中的「业务确认值」及待确认事项，T0 会上逐项确认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业务对接人</w:t>
            </w:r>
          </w:p>
        </w:tc>
        <w:tc>
          <w:tcPr>
            <w:tcW w:type="dxa" w:w="83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采购部 1 名业务负责人；第 3–11 周每周约 2–4 小时用于口径核对与清单反馈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IT 对接人</w:t>
            </w:r>
          </w:p>
        </w:tc>
        <w:tc>
          <w:tcPr>
            <w:tcW w:type="dxa" w:w="83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1 名，负责账号权限、数据抽取与推送渠道开通</w:t>
            </w:r>
          </w:p>
        </w:tc>
      </w:tr>
    </w:tbl>
    <w:p>
      <w:pPr>
        <w:spacing w:after="60"/>
      </w:pPr>
    </w:p>
    <w:sectPr>
      <w:headerReference w:type="default" r:id="rId7"/>
      <w:footerReference w:type="default" r:id="rId8"/>
      <w:pgSz w:w="11906" w:h="16838" w:orient="portrait"/>
      <w:pgMar w:top="1300" w:right="1134" w:bottom="12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969CA6"/>
        <w:sz w:val="16"/>
        <w:szCs w:val="16"/>
      </w:rPr>
      <w:t xml:space="preserve">第 </w:t>
    </w:r>
    <w:r>
      <w:rPr>
        <w:rFonts w:ascii="Arial" w:cs="Arial" w:eastAsia="Microsoft YaHei" w:hAnsi="Arial"/>
        <w:color w:val="969CA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Microsoft YaHei" w:hAnsi="Arial"/>
        <w:color w:val="969CA6"/>
        <w:sz w:val="16"/>
        <w:szCs w:val="16"/>
      </w:rPr>
      <w:t xml:space="preserve"> 页 · 供盈德内部立项汇报使用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Microsoft YaHei" w:hAnsi="Arial"/>
        <w:color w:val="969CA6"/>
        <w:sz w:val="16"/>
        <w:szCs w:val="16"/>
      </w:rPr>
      <w:t xml:space="preserve">盈德气体 · 采购智能查询助手（一期）落地方案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Microsoft YaHei" w:hAnsi="Arial"/>
        <w:color w:val="1A1C1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Arial" w:cs="Arial" w:eastAsia="Microsoft YaHei" w:hAnsi="Arial"/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rial" w:cs="Arial" w:eastAsia="Microsoft YaHei" w:hAnsi="Arial"/>
      <w:b/>
      <w:bCs/>
      <w:color w:val="1A1C1F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Arial" w:cs="Arial" w:eastAsia="Microsoft YaHei" w:hAnsi="Arial"/>
      <w:b/>
      <w:bCs/>
      <w:color w:val="1A1C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3a7818659f5f50eea5584495a1415da7c5877954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盈德气体 · 采购智能查询助手（一期）落地方案</dc:title>
  <dc:creator>盈德气体</dc:creator>
  <cp:lastModifiedBy>Un-named</cp:lastModifiedBy>
  <cp:revision>1</cp:revision>
  <dcterms:created xsi:type="dcterms:W3CDTF">2026-10-02T04:03:09.505Z</dcterms:created>
  <dcterms:modified xsi:type="dcterms:W3CDTF">2026-10-02T04:03:09.505Z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